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D3A1E" w14:textId="2C9617AB" w:rsidR="005B2419" w:rsidRPr="00D56BDE" w:rsidRDefault="005B2419" w:rsidP="00E533BB">
      <w:pPr>
        <w:pStyle w:val="Tytu"/>
        <w:rPr>
          <w:sz w:val="24"/>
          <w:szCs w:val="24"/>
        </w:rPr>
      </w:pPr>
      <w:r w:rsidRPr="00D56BDE">
        <w:rPr>
          <w:sz w:val="24"/>
          <w:szCs w:val="24"/>
        </w:rPr>
        <w:t xml:space="preserve">Załącznik nr </w:t>
      </w:r>
      <w:r w:rsidR="00D56BDE" w:rsidRPr="00D56BDE">
        <w:rPr>
          <w:sz w:val="24"/>
          <w:szCs w:val="24"/>
        </w:rPr>
        <w:t>2</w:t>
      </w:r>
    </w:p>
    <w:p w14:paraId="2B1B67E4" w14:textId="070E3F0B" w:rsidR="005B2419" w:rsidRPr="00D56BDE" w:rsidRDefault="005B2419" w:rsidP="00057BDC">
      <w:pPr>
        <w:pStyle w:val="Tytu"/>
        <w:rPr>
          <w:sz w:val="24"/>
          <w:szCs w:val="24"/>
        </w:rPr>
      </w:pPr>
      <w:r w:rsidRPr="00D56BDE">
        <w:rPr>
          <w:sz w:val="24"/>
          <w:szCs w:val="24"/>
        </w:rPr>
        <w:t xml:space="preserve">do Regulaminu </w:t>
      </w:r>
      <w:r w:rsidR="00057BDC">
        <w:rPr>
          <w:sz w:val="24"/>
          <w:szCs w:val="24"/>
        </w:rPr>
        <w:t>otwartego konkursu na spektakle tańca prezentowane w ramach projektu Polska Platforma Tańca 2024</w:t>
      </w:r>
    </w:p>
    <w:p w14:paraId="556D6B3F" w14:textId="5FC243FA" w:rsidR="00DE2642" w:rsidRPr="00D56BDE" w:rsidRDefault="00D56BDE" w:rsidP="00E533BB">
      <w:pPr>
        <w:pStyle w:val="Tytu"/>
        <w:rPr>
          <w:sz w:val="24"/>
          <w:szCs w:val="24"/>
        </w:rPr>
      </w:pPr>
      <w:r w:rsidRPr="00D56BDE">
        <w:rPr>
          <w:sz w:val="24"/>
          <w:szCs w:val="24"/>
        </w:rPr>
        <w:t>Pomoc publiczna</w:t>
      </w:r>
    </w:p>
    <w:p w14:paraId="61B82C6C" w14:textId="4BF77193" w:rsidR="00DE2642" w:rsidRPr="00D56BDE" w:rsidRDefault="00DE2642" w:rsidP="00720DA9"/>
    <w:p w14:paraId="1DE9B6F7" w14:textId="77777777" w:rsidR="00D56BDE" w:rsidRPr="00D56BDE" w:rsidRDefault="00D56BDE" w:rsidP="00D56BDE">
      <w:pPr>
        <w:pStyle w:val="PARAGRAF"/>
      </w:pPr>
      <w:r w:rsidRPr="00D56BDE">
        <w:rPr>
          <w:rStyle w:val="Teksttreci2"/>
          <w:rFonts w:ascii="Times New Roman" w:hAnsi="Times New Roman" w:cs="Times New Roman"/>
          <w:sz w:val="24"/>
          <w:szCs w:val="24"/>
        </w:rPr>
        <w:t>1. INFORMACJE OGÓLNE</w:t>
      </w:r>
    </w:p>
    <w:p w14:paraId="2A1CE7CA" w14:textId="50B06EF4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Style w:val="Teksttreci"/>
          <w:rFonts w:ascii="Times New Roman" w:hAnsi="Times New Roman" w:cs="Times New Roman"/>
          <w:sz w:val="24"/>
          <w:szCs w:val="24"/>
        </w:rPr>
        <w:t>Wnioskodawcy/W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nioskodawców będących przedsiębiorstwami, w rozumieniu art. 1 załącznika I do rozporządzenia Komisji (UE) nr 651/2014 dofinansowanie w </w:t>
      </w:r>
      <w:r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rogramie jest udzielane jako pomoc publiczna</w:t>
      </w:r>
      <w:r w:rsidRPr="00D56BDE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, na warunkach określonych w §7 rozporządzenia </w:t>
      </w:r>
      <w:r>
        <w:rPr>
          <w:rStyle w:val="Teksttreci"/>
          <w:rFonts w:ascii="Times New Roman" w:hAnsi="Times New Roman" w:cs="Times New Roman"/>
          <w:sz w:val="24"/>
          <w:szCs w:val="24"/>
        </w:rPr>
        <w:t>Ministra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z dnia 18 grudnia 2018 roku w sprawie zakresu zadań objętych mecenatem państwa, udzielania dotacji celowej na zadania nim objęte oraz udzielania dofinansowań podmiotom prowadzącym działalność w dziedzinie kultury i ochrony dziedzictwa narodowego.</w:t>
      </w:r>
    </w:p>
    <w:p w14:paraId="31F503DB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Zgodnie z art. 1 załącznika I do rozporządzenia Komisji (UE) nr 651/2014 „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za przedsiębiorstwo uważa się podmiot prowadzący działalność gospodarczą bez względu na jego formę prawną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. Zalicza się tu w szczególności osoby prowadzące działalność na własny rachunek oraz firmy rodzinne zajmujące się rzemiosłem lub inną działalnością, a także spółki lub stowarzyszenia prowadzące regularną działalność gospodarczą”. Z perspektywy przepisów o pomocy publicznej działalność gospodarcza rozumiana jest jako wszelka działalność polegająca na oferowaniu na rynku towarów lub usług. W tym zakresie nie znajduje zastosowanie definicja działalności gospodarczej zawarta w art. 3 ustawy z dnia 6 marca 2018 r. Prawo przedsiębiorców.</w:t>
      </w:r>
    </w:p>
    <w:p w14:paraId="1FA1A960" w14:textId="482231EB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Określenie czy dany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nioskodawca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występuje</w:t>
      </w:r>
      <w:r>
        <w:rPr>
          <w:rStyle w:val="Teksttreci"/>
          <w:rFonts w:ascii="Times New Roman" w:hAnsi="Times New Roman" w:cs="Times New Roman"/>
          <w:sz w:val="24"/>
          <w:szCs w:val="24"/>
        </w:rPr>
        <w:t>/występują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o dofinansowanie jako przedsiębiorstwo nie zależy od formy prawnej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nioskodawcy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/Wnioskodawców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, ale od cech zadania będącego przedmiotem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niosku. Oznacza to zatem, że mogą wystąpić sytuacje, w których przedsiębiorcy będą się ubiegać o wsparcie tylko działalności, która ma charakter niegospodarczy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Nie można też wykluczyć, iż w przypadku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nioskodawcy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/Wnioskodawców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składającego</w:t>
      </w:r>
      <w:r>
        <w:rPr>
          <w:rStyle w:val="Teksttreci"/>
          <w:rFonts w:ascii="Times New Roman" w:hAnsi="Times New Roman" w:cs="Times New Roman"/>
          <w:sz w:val="24"/>
          <w:szCs w:val="24"/>
        </w:rPr>
        <w:t>/składających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dwa wnioski do różnych </w:t>
      </w:r>
      <w:r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rogramów, w jednym z nich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nioskodawca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Style w:val="Teksttreci"/>
          <w:rFonts w:ascii="Times New Roman" w:hAnsi="Times New Roman" w:cs="Times New Roman"/>
          <w:sz w:val="24"/>
          <w:szCs w:val="24"/>
        </w:rPr>
        <w:t>/będą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występowa</w:t>
      </w:r>
      <w:r>
        <w:rPr>
          <w:rStyle w:val="Teksttreci"/>
          <w:rFonts w:ascii="Times New Roman" w:hAnsi="Times New Roman" w:cs="Times New Roman"/>
          <w:sz w:val="24"/>
          <w:szCs w:val="24"/>
        </w:rPr>
        <w:t>ć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jako przedsiębiorstwo, a w przypadku drugiego programu </w:t>
      </w:r>
      <w:r>
        <w:rPr>
          <w:rStyle w:val="Teksttreci"/>
          <w:rFonts w:ascii="Times New Roman" w:hAnsi="Times New Roman" w:cs="Times New Roman"/>
          <w:sz w:val="24"/>
          <w:szCs w:val="24"/>
        </w:rPr>
        <w:t>–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nie.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Decydujące jest zatem ustalenie czy dofinansowanie realizacji zadania przyznawane jest przedsiębiorcy w związku z prowadzoną przez niego działalnością gospodarczą.</w:t>
      </w:r>
    </w:p>
    <w:p w14:paraId="17EB7FED" w14:textId="21E41939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Gdy zadanie ma charakter niegospodarczy, ale o wsparcie ubiega się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nioskodawca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prowadzący działalność gospodarczą, aby dofinansowanie nie zostało uznane za pomoc publiczną, </w:t>
      </w:r>
      <w:r w:rsidR="00AD0E69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nioskodawca powinien zapewnić rachunkowe rozdzielenie obydwu działalności, tak aby uniknąć wykorzystywania wsparcia otrzymanego </w:t>
      </w:r>
      <w:r w:rsidRPr="00D56BDE">
        <w:rPr>
          <w:rFonts w:ascii="Times New Roman" w:eastAsia="Calibri" w:hAnsi="Times New Roman"/>
          <w:sz w:val="24"/>
          <w:szCs w:val="24"/>
        </w:rPr>
        <w:t>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56BDE">
        <w:rPr>
          <w:rFonts w:ascii="Times New Roman" w:eastAsia="Calibri" w:hAnsi="Times New Roman"/>
          <w:sz w:val="24"/>
          <w:szCs w:val="24"/>
        </w:rPr>
        <w:t>działalność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niegospodarczą do finansowania działalności gospodarczej.</w:t>
      </w:r>
      <w:r w:rsidRPr="00D56BDE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4097557B" w14:textId="77777777" w:rsidR="00D56BDE" w:rsidRPr="00D56BDE" w:rsidRDefault="00D56BDE" w:rsidP="00D56BDE">
      <w:pPr>
        <w:pStyle w:val="PARAGRAF"/>
      </w:pPr>
      <w:r w:rsidRPr="00D56BDE">
        <w:rPr>
          <w:rStyle w:val="Teksttreci2"/>
          <w:rFonts w:ascii="Times New Roman" w:hAnsi="Times New Roman" w:cs="Times New Roman"/>
          <w:sz w:val="24"/>
          <w:szCs w:val="24"/>
        </w:rPr>
        <w:t xml:space="preserve">2. TEST POMOCY </w:t>
      </w:r>
      <w:r w:rsidRPr="00D56BDE">
        <w:rPr>
          <w:rFonts w:eastAsia="Calibri"/>
        </w:rPr>
        <w:t>PUBLICZNEJ</w:t>
      </w:r>
    </w:p>
    <w:p w14:paraId="08B713DF" w14:textId="5CD64A06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Organizator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dokonuje analizy zadania będącego przedmiotem wniosku (zwanej dalej „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testem pomocy publicznej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”) pod kątem zasadności udzielenia dofinasowania w reżimie lub poza reżimem pomocy publicznej. W zależności od specyfiki i zakresu zadania test pomocy publicznej może być przeprowadzony w 1 lub w 2 etapach.</w:t>
      </w:r>
    </w:p>
    <w:p w14:paraId="728210B9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Na podstawie przeprowadzonego testu pomocy publicznej określony zostanie tryb ewentualnego udzielenia dofinansowania:</w:t>
      </w:r>
    </w:p>
    <w:p w14:paraId="02C88AB0" w14:textId="0881D297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dofinansowanie będzie wyłączone z reżimu pomocy publicznej, gdyż zadanie posiada cechy, które pozwalają stwierdzić, że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nioskodawca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nie realizuje</w:t>
      </w:r>
      <w:r>
        <w:rPr>
          <w:rStyle w:val="Teksttreci"/>
          <w:rFonts w:ascii="Times New Roman" w:hAnsi="Times New Roman" w:cs="Times New Roman"/>
          <w:sz w:val="24"/>
          <w:szCs w:val="24"/>
        </w:rPr>
        <w:t>/nie realizują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zadania jako przedsiębiorstwo; </w:t>
      </w:r>
    </w:p>
    <w:p w14:paraId="627D309E" w14:textId="332B684F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dofinansowanie będzie włączone do reżimu pomocy publicznej, gdyż zadanie posiada cechy, które pozwalają stwierdzić, że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nioskodawca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realizuje</w:t>
      </w:r>
      <w:r>
        <w:rPr>
          <w:rStyle w:val="Teksttreci"/>
          <w:rFonts w:ascii="Times New Roman" w:hAnsi="Times New Roman" w:cs="Times New Roman"/>
          <w:sz w:val="24"/>
          <w:szCs w:val="24"/>
        </w:rPr>
        <w:t>/realizują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zadanie jako przedsiębiorstwo i spełnione są wszystkie warunki do uznania wsparcia za  pomoc publiczną.</w:t>
      </w:r>
    </w:p>
    <w:p w14:paraId="77BEFD75" w14:textId="52C4ADE4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W I etapie testu pomocy publicznej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nioskodawca</w:t>
      </w:r>
      <w:r>
        <w:rPr>
          <w:rStyle w:val="Teksttreci"/>
          <w:rFonts w:ascii="Times New Roman" w:hAnsi="Times New Roman" w:cs="Times New Roman"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wypełnia</w:t>
      </w:r>
      <w:r>
        <w:rPr>
          <w:rStyle w:val="Teksttreci"/>
          <w:rFonts w:ascii="Times New Roman" w:hAnsi="Times New Roman" w:cs="Times New Roman"/>
          <w:sz w:val="24"/>
          <w:szCs w:val="24"/>
        </w:rPr>
        <w:t>/wypełniają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obligatoryjnie zintegrowany z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nioskiem załącznik pn. </w:t>
      </w:r>
      <w:r w:rsidRPr="00D56BDE">
        <w:rPr>
          <w:rStyle w:val="Teksttreci"/>
          <w:rFonts w:ascii="Times New Roman" w:hAnsi="Times New Roman" w:cs="Times New Roman"/>
          <w:b/>
          <w:bCs/>
          <w:i/>
          <w:iCs/>
          <w:sz w:val="24"/>
          <w:szCs w:val="24"/>
        </w:rPr>
        <w:t>Informacja dotycząca pomocy publicznej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, którego celem jest określenie czy realizowane zadanie ma charakter gospodarczy.</w:t>
      </w:r>
    </w:p>
    <w:p w14:paraId="750E5D19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Dla wyłączenia dofinasowania z reżimu pomocy publicznej w I etapie testu niezbędne jest stwierdzenie czy zadanie ma charakter czysto społeczny, edukacyjny lub kulturalny, a jego efekty będą otwarte dla ogółu społeczeństwa bezpłatnie w trakcie jego realizacji oraz po jego zakończeniu.</w:t>
      </w:r>
    </w:p>
    <w:p w14:paraId="431681FE" w14:textId="1545F4E9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W przypadku stwierdzenia przez </w:t>
      </w:r>
      <w:r>
        <w:rPr>
          <w:rStyle w:val="Teksttreci"/>
          <w:rFonts w:ascii="Times New Roman" w:hAnsi="Times New Roman" w:cs="Times New Roman"/>
          <w:sz w:val="24"/>
          <w:szCs w:val="24"/>
        </w:rPr>
        <w:t>Organizatora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braku możliwości jednoznacznego wykluczenia gospodarczego charakteru zadania w I etapie testu pomocy publicznej, </w:t>
      </w:r>
      <w:r>
        <w:rPr>
          <w:rStyle w:val="Teksttreci"/>
          <w:rFonts w:ascii="Times New Roman" w:hAnsi="Times New Roman" w:cs="Times New Roman"/>
          <w:sz w:val="24"/>
          <w:szCs w:val="24"/>
        </w:rPr>
        <w:t>Wnioskodawca/Wnioskodawcy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zobligowany jest</w:t>
      </w:r>
      <w:r>
        <w:rPr>
          <w:rStyle w:val="Teksttreci"/>
          <w:rFonts w:ascii="Times New Roman" w:hAnsi="Times New Roman" w:cs="Times New Roman"/>
          <w:sz w:val="24"/>
          <w:szCs w:val="24"/>
        </w:rPr>
        <w:t>/zobligowani są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do wypełnienia i przesłania wraz z aktualizacją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niosku dodatkowego załącznika pn. </w:t>
      </w:r>
      <w:r w:rsidRPr="00D56BDE">
        <w:rPr>
          <w:rStyle w:val="Teksttreci"/>
          <w:rFonts w:ascii="Times New Roman" w:hAnsi="Times New Roman" w:cs="Times New Roman"/>
          <w:b/>
          <w:bCs/>
          <w:i/>
          <w:iCs/>
          <w:sz w:val="24"/>
          <w:szCs w:val="24"/>
        </w:rPr>
        <w:t>Szczegółowa informacja dotycząca pomocy publicznej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, na podstawie którego instytucja zarządzająca przeprowadza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II etap testu pomocy publicznej.</w:t>
      </w:r>
    </w:p>
    <w:p w14:paraId="5185B521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Dla wyłączenia dofinasowania z reżimu pomocy publicznej w II etapie testu, poza dokonaniem ponownej analizy aspektów określających gospodarczy charakter zadania, niezbędne jest stwierdzenie czy dofinansowanie nie grozi zakłóceniem bądź nie zakłóca konkurencji i nie ma wpływu na wymianę handlową.</w:t>
      </w:r>
    </w:p>
    <w:p w14:paraId="11829440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Fonts w:ascii="Times New Roman" w:eastAsia="Calibri" w:hAnsi="Times New Roman"/>
          <w:sz w:val="24"/>
          <w:szCs w:val="24"/>
        </w:rPr>
        <w:t>Poniżej przedstawiono wszystkie elementy, które brane są pod uwagę w pełnym teście pomocy publicznej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:</w:t>
      </w:r>
    </w:p>
    <w:p w14:paraId="597E05E2" w14:textId="77777777" w:rsidR="00D56BDE" w:rsidRPr="00D56BDE" w:rsidRDefault="00D56BDE" w:rsidP="00D56BDE">
      <w:pPr>
        <w:pStyle w:val="Teksttreci0"/>
        <w:tabs>
          <w:tab w:val="left" w:pos="754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589"/>
      </w:tblGrid>
      <w:tr w:rsidR="00D56BDE" w:rsidRPr="00D56BDE" w14:paraId="74FE9FD0" w14:textId="77777777" w:rsidTr="00616E58">
        <w:trPr>
          <w:trHeight w:hRule="exact" w:val="778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2B49680" w14:textId="2E398A01" w:rsidR="00D56BDE" w:rsidRPr="00D56BDE" w:rsidRDefault="00D56BDE" w:rsidP="00616E58">
            <w:pPr>
              <w:pStyle w:val="Inne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b/>
                <w:bCs/>
                <w:sz w:val="24"/>
                <w:szCs w:val="24"/>
              </w:rPr>
              <w:t>Część 1. CHARAKTER GOSPODARCZY DZIAŁALNOŚCI WNIOSKODAWCY</w:t>
            </w:r>
            <w:r>
              <w:rPr>
                <w:rStyle w:val="Inne"/>
                <w:rFonts w:ascii="Times New Roman" w:hAnsi="Times New Roman" w:cs="Times New Roman"/>
                <w:b/>
                <w:bCs/>
                <w:sz w:val="24"/>
                <w:szCs w:val="24"/>
              </w:rPr>
              <w:t>/WNIOSKODAWCÓW</w:t>
            </w:r>
          </w:p>
        </w:tc>
      </w:tr>
      <w:tr w:rsidR="00D56BDE" w:rsidRPr="00D56BDE" w14:paraId="272F17FC" w14:textId="77777777" w:rsidTr="00616E58">
        <w:trPr>
          <w:trHeight w:hRule="exact"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5DD4E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7E527" w14:textId="29695E09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nioskodawca</w:t>
            </w: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/Wnioskodawcy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 prowadzi</w:t>
            </w: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/prowadzą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 działalność polegającą na oferowaniu na rynku towarów lub usług?</w:t>
            </w:r>
          </w:p>
        </w:tc>
      </w:tr>
      <w:tr w:rsidR="00D56BDE" w:rsidRPr="00D56BDE" w14:paraId="66658DC6" w14:textId="77777777" w:rsidTr="00616E5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7DA1D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773E3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Czy zadanie, którego dotyczy dofinansowanie wiąże się z oferowaniem 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  <w:t>na rynku towarów lub usług?</w:t>
            </w:r>
          </w:p>
        </w:tc>
      </w:tr>
      <w:tr w:rsidR="00D56BDE" w:rsidRPr="00D56BDE" w14:paraId="1AFE0675" w14:textId="77777777" w:rsidTr="00616E58">
        <w:trPr>
          <w:trHeight w:hRule="exact" w:val="6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CDB9D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B72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Prognozowane przychody uzyskane z tytułu realizacji zadania i/lub 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  <w:t>z wykorzystaniem efektów realizacji zadania</w:t>
            </w:r>
          </w:p>
        </w:tc>
      </w:tr>
      <w:tr w:rsidR="00D56BDE" w:rsidRPr="00D56BDE" w14:paraId="5421DC5D" w14:textId="77777777" w:rsidTr="00616E58">
        <w:trPr>
          <w:trHeight w:hRule="exact" w:val="10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A7B84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13598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Czy zadanie ma charakter czysto społeczny, edukacyjny lub kulturalny, 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  <w:t>a jego efekty będą otwarte dla ogółu społeczeństwa bezpłatnie w trakcie jego realizacji oraz po jego zakończeniu?</w:t>
            </w:r>
          </w:p>
        </w:tc>
      </w:tr>
      <w:tr w:rsidR="00D56BDE" w:rsidRPr="00D56BDE" w14:paraId="7F278E7B" w14:textId="77777777" w:rsidTr="00616E58">
        <w:trPr>
          <w:trHeight w:hRule="exact" w:val="11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FB4F3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ADF7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Czy w przypadku prowadzenia innej działalności gospodarczej, wnioskodawca zapewni rozdzielność finansowo-księgową 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  <w:t>z działalnością będącą przedmiotem dofinansowania?</w:t>
            </w:r>
          </w:p>
        </w:tc>
      </w:tr>
      <w:tr w:rsidR="00D56BDE" w:rsidRPr="00D56BDE" w14:paraId="19936414" w14:textId="77777777" w:rsidTr="00616E58">
        <w:trPr>
          <w:trHeight w:hRule="exact" w:val="552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B91F5E7" w14:textId="77777777" w:rsidR="00D56BDE" w:rsidRPr="00D56BDE" w:rsidRDefault="00D56BDE" w:rsidP="00616E58">
            <w:pPr>
              <w:pStyle w:val="Inne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2. WPŁYW NA WYMIANĘ HANDLOWĄ/ ZAGROŻENIE </w:t>
            </w:r>
            <w:r w:rsidRPr="00D56BDE">
              <w:rPr>
                <w:rStyle w:val="Inne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ZAKÓŁOCENIA KONKURENCJI</w:t>
            </w:r>
          </w:p>
        </w:tc>
      </w:tr>
      <w:tr w:rsidR="00D56BDE" w:rsidRPr="00D56BDE" w14:paraId="1E05AF6E" w14:textId="77777777" w:rsidTr="00616E58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31FD8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6D5F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Odbiorcy zadania/efektów realizacji zadania</w:t>
            </w:r>
          </w:p>
        </w:tc>
      </w:tr>
      <w:tr w:rsidR="00D56BDE" w:rsidRPr="00D56BDE" w14:paraId="1FC24890" w14:textId="77777777" w:rsidTr="00616E58">
        <w:trPr>
          <w:trHeight w:hRule="exact" w:val="6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7C13D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166E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Przewidywana liczba odbiorców zadania/efektów realizacji zadania 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br/>
              <w:t>w skali roku</w:t>
            </w:r>
          </w:p>
        </w:tc>
      </w:tr>
    </w:tbl>
    <w:p w14:paraId="7B66848A" w14:textId="77777777" w:rsidR="00D56BDE" w:rsidRPr="00D56BDE" w:rsidRDefault="00D56BDE" w:rsidP="00D56BDE">
      <w:pPr>
        <w:spacing w:after="120"/>
      </w:pPr>
    </w:p>
    <w:p w14:paraId="26F7A63C" w14:textId="77777777" w:rsidR="00D56BDE" w:rsidRPr="00D56BDE" w:rsidRDefault="00D56BDE" w:rsidP="00D56BDE">
      <w:pPr>
        <w:spacing w:after="120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589"/>
      </w:tblGrid>
      <w:tr w:rsidR="00D56BDE" w:rsidRPr="00D56BDE" w14:paraId="7E7F4BB6" w14:textId="77777777" w:rsidTr="00616E58">
        <w:trPr>
          <w:trHeight w:hRule="exact" w:val="6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10845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E294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Język, w którym prezentowane jest zadanie/efekty realizacji zadania</w:t>
            </w:r>
          </w:p>
        </w:tc>
      </w:tr>
      <w:tr w:rsidR="00D56BDE" w:rsidRPr="00D56BDE" w14:paraId="437C576B" w14:textId="77777777" w:rsidTr="00616E58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8805F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513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Lokalizacja zadania</w:t>
            </w:r>
          </w:p>
        </w:tc>
      </w:tr>
      <w:tr w:rsidR="00D56BDE" w:rsidRPr="00D56BDE" w14:paraId="50F381AA" w14:textId="77777777" w:rsidTr="00616E58">
        <w:trPr>
          <w:trHeight w:hRule="exact" w:val="6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28295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5861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Dostępność komunikacyjna zadania i/lub efektów realizacji zadania</w:t>
            </w:r>
          </w:p>
        </w:tc>
      </w:tr>
      <w:tr w:rsidR="00D56BDE" w:rsidRPr="00D56BDE" w14:paraId="0AA3CF33" w14:textId="77777777" w:rsidTr="00616E58">
        <w:trPr>
          <w:trHeight w:hRule="exact" w:val="5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23D7C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903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Oferta kulturalna w miejscu realizacji zadania/dostępu do efektów realizacji zadania</w:t>
            </w:r>
          </w:p>
        </w:tc>
      </w:tr>
      <w:tr w:rsidR="00D56BDE" w:rsidRPr="00D56BDE" w14:paraId="3A86428F" w14:textId="77777777" w:rsidTr="00616E58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09977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3E14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Promocja zadania/efektów realizacji zadania</w:t>
            </w:r>
          </w:p>
        </w:tc>
      </w:tr>
      <w:tr w:rsidR="00D56BDE" w:rsidRPr="00D56BDE" w14:paraId="33C7D1E0" w14:textId="77777777" w:rsidTr="00616E58">
        <w:trPr>
          <w:trHeight w:hRule="exact" w:val="4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431C1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58FBB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Unikatowość zadania/efektów realizacji zadania</w:t>
            </w:r>
          </w:p>
        </w:tc>
      </w:tr>
      <w:tr w:rsidR="00D56BDE" w:rsidRPr="00D56BDE" w14:paraId="4F5D4709" w14:textId="77777777" w:rsidTr="00616E58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B4928" w14:textId="77777777" w:rsidR="00D56BDE" w:rsidRPr="00D56BDE" w:rsidRDefault="00D56BDE" w:rsidP="00616E58">
            <w:pPr>
              <w:pStyle w:val="Inne0"/>
              <w:spacing w:after="12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241A5" w14:textId="77777777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Renoma zadania/efektów realizacji zadania</w:t>
            </w:r>
          </w:p>
        </w:tc>
      </w:tr>
      <w:tr w:rsidR="00D56BDE" w:rsidRPr="00D56BDE" w14:paraId="197C7BBB" w14:textId="77777777" w:rsidTr="00616E58">
        <w:trPr>
          <w:trHeight w:hRule="exact" w:val="4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AF3EB" w14:textId="77777777" w:rsidR="00D56BDE" w:rsidRPr="00D56BDE" w:rsidRDefault="00D56BDE" w:rsidP="00616E58">
            <w:pPr>
              <w:pStyle w:val="Inne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5B6F" w14:textId="02B33500" w:rsidR="00D56BDE" w:rsidRPr="00D56BDE" w:rsidRDefault="00D56BDE" w:rsidP="00616E58">
            <w:pPr>
              <w:pStyle w:val="Inne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Renoma </w:t>
            </w:r>
            <w:r w:rsidR="000C4432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</w:t>
            </w:r>
            <w:r w:rsidRPr="00D56BDE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nioskodawcy</w:t>
            </w:r>
            <w:r w:rsidR="000C4432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/Wnioskodawców</w:t>
            </w:r>
          </w:p>
        </w:tc>
      </w:tr>
    </w:tbl>
    <w:p w14:paraId="57A37692" w14:textId="77777777" w:rsidR="00D56BDE" w:rsidRPr="00D56BDE" w:rsidRDefault="00D56BDE" w:rsidP="00D56BDE"/>
    <w:p w14:paraId="35089D60" w14:textId="77777777" w:rsidR="00D56BDE" w:rsidRPr="00D56BDE" w:rsidRDefault="00D56BDE" w:rsidP="00D56BDE"/>
    <w:p w14:paraId="268A39A7" w14:textId="30050496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Z uwagi na nie w pełni wymierny charakter przesłanki wpływu na wymianę handlową i groźbę zakłócenia konkurencji, w przypadku jeśli przeprowadzony test pomocy publicznej wskazuje na wątpliwości odnośnie wykluczenia wystąpienia tej przesłanki, decydujące znaczenie powinna mieć indywidualna ocena danego zadania, a wyłączenie dofinansowania z reżimu pomocy publicznej może nastąpić jedynie po sporządzeniu dodatkowego uzasadnienia przez instytucję zarządzającą.</w:t>
      </w:r>
    </w:p>
    <w:p w14:paraId="1FD283FA" w14:textId="685258D3" w:rsidR="00D56BDE" w:rsidRPr="00D56BDE" w:rsidRDefault="00D56BDE" w:rsidP="00D56BDE">
      <w:pPr>
        <w:pStyle w:val="Akapitpunktgowny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UWAGA! Przedstawienie przez </w:t>
      </w:r>
      <w:r w:rsidR="000C443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nioskodawcę/</w:t>
      </w:r>
      <w:r w:rsidR="000C443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Wnioskodawców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niesprawdzonych lub nieprawdziwych informacji w ramach testu pomocy publicznej może skutkować odrzuceniem </w:t>
      </w:r>
      <w:r w:rsidR="000C443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niosku, anulowaniem przyznanego dofinansowania lub obowiązkiem zwrotu dofinansowania wraz z odsetkami.</w:t>
      </w:r>
    </w:p>
    <w:p w14:paraId="6A1DCC29" w14:textId="77777777" w:rsidR="00D56BDE" w:rsidRPr="00D56BDE" w:rsidRDefault="00D56BDE" w:rsidP="00D56BDE">
      <w:pPr>
        <w:pStyle w:val="PARAGRAF"/>
      </w:pPr>
      <w:r w:rsidRPr="00D56BDE">
        <w:rPr>
          <w:rStyle w:val="Teksttreci2"/>
          <w:rFonts w:ascii="Times New Roman" w:hAnsi="Times New Roman" w:cs="Times New Roman"/>
          <w:sz w:val="24"/>
          <w:szCs w:val="24"/>
        </w:rPr>
        <w:t>3. DOFINANSOWANIE, KTÓRE NIE JEST POMOCĄ PUBLICZNĄ</w:t>
      </w:r>
    </w:p>
    <w:p w14:paraId="142E1F88" w14:textId="28887537" w:rsidR="00D56BDE" w:rsidRPr="00D56BDE" w:rsidRDefault="000C4432" w:rsidP="00D56BDE">
      <w:pPr>
        <w:pStyle w:val="Akapitpunktgowny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Wnioskodawca</w:t>
      </w:r>
      <w:r w:rsidR="00D56BDE"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, którego zadanie może być wyłączone z reżimu pomocy publicznej na podstawie I etapu testu pomocy publicznej, </w:t>
      </w:r>
      <w:r w:rsidR="00D56BDE" w:rsidRPr="00D56BDE">
        <w:rPr>
          <w:rFonts w:ascii="Times New Roman" w:eastAsia="Calibri" w:hAnsi="Times New Roman"/>
          <w:sz w:val="24"/>
          <w:szCs w:val="24"/>
        </w:rPr>
        <w:t>przy</w:t>
      </w:r>
      <w:r w:rsidR="00D56BDE"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składaniu aktualizacji </w:t>
      </w: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="00D56BDE"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niosku jest zobligowany do ponownego wypełnienia załącznika pn. </w:t>
      </w:r>
      <w:r w:rsidR="00D56BDE" w:rsidRPr="000C4432">
        <w:rPr>
          <w:rStyle w:val="Teksttreci"/>
          <w:rFonts w:ascii="Times New Roman" w:hAnsi="Times New Roman" w:cs="Times New Roman"/>
          <w:b/>
          <w:bCs/>
          <w:i/>
          <w:iCs/>
          <w:sz w:val="24"/>
          <w:szCs w:val="24"/>
        </w:rPr>
        <w:t>Informacja dotycząca pomocy publicznej</w:t>
      </w:r>
      <w:r w:rsidR="00D56BDE"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w celu potwierdzenia czy, w związku ze zmianami w zakresie zadania wprowadzonymi na etapie aktualizacji, nie zachodzą okoliczności uzasadniające przeprowadzenie II etapu testu pomocy publicznej.</w:t>
      </w:r>
    </w:p>
    <w:p w14:paraId="487C67B1" w14:textId="06CF52AF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zaistnienia na etapie aktualizacji 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niosku okoliczności uzasadniających przeprowadzenie II etapu testu pomocy publicznej wykonane zostają czynności określone w pkt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9-12.</w:t>
      </w:r>
    </w:p>
    <w:p w14:paraId="67A2CF7C" w14:textId="4F12E58D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Po stwierdzeniu, że ewentualne dofinansowanie nie jest pomocą publiczną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, może być ono przyznane i udzielone na zasadach, w zakresie i limitach finansowych określonych w 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>Regulaminie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6BFEAE3F" w14:textId="77777777" w:rsidR="00D56BDE" w:rsidRPr="00D56BDE" w:rsidRDefault="00D56BDE" w:rsidP="00D56BDE">
      <w:pPr>
        <w:pStyle w:val="PARAGRAF"/>
      </w:pPr>
      <w:r w:rsidRPr="00D56BDE">
        <w:rPr>
          <w:rStyle w:val="Teksttreci2"/>
          <w:rFonts w:ascii="Times New Roman" w:hAnsi="Times New Roman" w:cs="Times New Roman"/>
          <w:sz w:val="24"/>
          <w:szCs w:val="24"/>
        </w:rPr>
        <w:lastRenderedPageBreak/>
        <w:t>4. DOFINANSOWANIE, KTÓRE JEST POMOCĄ PUBLICZNĄ</w:t>
      </w:r>
    </w:p>
    <w:p w14:paraId="246F9DCD" w14:textId="684AB40E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Po wykonaniu czynności określonych w pkt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9-12 i pkt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14-15 oraz stwierdzeniu, że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dofinansowanie będzie </w:t>
      </w:r>
      <w:r w:rsidRPr="00D56BDE">
        <w:rPr>
          <w:rFonts w:ascii="Times New Roman" w:eastAsia="Calibri" w:hAnsi="Times New Roman"/>
          <w:sz w:val="24"/>
          <w:szCs w:val="24"/>
        </w:rPr>
        <w:t>udzielone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w reżimie pomocy publicznej,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całość pomocy publicznej udzielonej na realizację zadania w programie nie może przekroczyć:</w:t>
      </w:r>
    </w:p>
    <w:p w14:paraId="69057F23" w14:textId="77777777" w:rsidR="00D56BDE" w:rsidRPr="00D56BDE" w:rsidRDefault="00D56BDE" w:rsidP="00D56BDE">
      <w:pPr>
        <w:pStyle w:val="Akapitpodpunk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kwoty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2 000 000 €; oraz</w:t>
      </w:r>
    </w:p>
    <w:p w14:paraId="12EB4E5D" w14:textId="77777777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80% kosztów kwalifikowalnych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4"/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przy czym pomoc wypłacana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br/>
        <w:t>w przyszłości, w tym pomoc wypłacana w kilku ratach, jest dyskontowana do wartości w momencie jej przyznania. Wartość kosztów kwalifikowalnych jest dyskontowana do ich wartości w chwili przyznania pomocy. Stopą procentową stosowaną do dyskontowania jest stopa dyskontowa obowiązująca w momencie przyznania pomocy</w:t>
      </w:r>
      <w:r w:rsidRPr="00D56BDE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D56BDE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6BDE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682A07CB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Do pomocy publicznej wlicza się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wszystkie źródła finansowania zadania pochodzące ze środków publicznych:</w:t>
      </w:r>
    </w:p>
    <w:p w14:paraId="2F79F7EC" w14:textId="5D9FAC0C" w:rsidR="00D56BDE" w:rsidRPr="00D56BDE" w:rsidRDefault="00D56BDE" w:rsidP="00D56BDE">
      <w:pPr>
        <w:pStyle w:val="Akapitpodpunk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dofinansowanie ze środków </w:t>
      </w:r>
      <w:r w:rsidR="00F57EC5">
        <w:rPr>
          <w:rStyle w:val="Teksttreci"/>
          <w:rFonts w:ascii="Times New Roman" w:hAnsi="Times New Roman" w:cs="Times New Roman"/>
          <w:sz w:val="24"/>
          <w:szCs w:val="24"/>
        </w:rPr>
        <w:t>Organizatora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7528F844" w14:textId="77777777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dotacje celowe z budżetu jednostek samorządu terytorialnego;</w:t>
      </w:r>
    </w:p>
    <w:p w14:paraId="3FC9393F" w14:textId="77777777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inne środki publiczne;</w:t>
      </w:r>
    </w:p>
    <w:p w14:paraId="25A5F922" w14:textId="0D53B324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finansowe środki własne, w przypadku jeśli </w:t>
      </w:r>
      <w:r w:rsidR="000C443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W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nioskodawca</w:t>
      </w:r>
      <w:r w:rsidR="000C4432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/Wnioskodawcy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jest podmiotem z sektora finansów publicznych.</w:t>
      </w:r>
    </w:p>
    <w:p w14:paraId="6B535F9F" w14:textId="77777777" w:rsidR="00D56BDE" w:rsidRPr="00D56BDE" w:rsidRDefault="00D56BDE" w:rsidP="00D56BDE">
      <w:pPr>
        <w:pStyle w:val="Akapitpunktgowny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W przypadku niespełnienia wymogów, o których mowa w pkt 17-18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dofinansowanie dla wniosku złożonego przez przedsiębiorstwo może być:</w:t>
      </w:r>
    </w:p>
    <w:p w14:paraId="78884188" w14:textId="77777777" w:rsidR="00D56BDE" w:rsidRPr="00D56BDE" w:rsidRDefault="00D56BDE" w:rsidP="00D56BDE">
      <w:pPr>
        <w:pStyle w:val="Akapitpodpunk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udzielone w kwocie niższej od przyznanej,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ale zgodnej z limitami określonymi w pkt 17;</w:t>
      </w:r>
    </w:p>
    <w:p w14:paraId="1E46F878" w14:textId="49ED66FC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udzielone jako pomoc de </w:t>
      </w:r>
      <w:proofErr w:type="spellStart"/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"/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, na warunkach określonych w §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7 ust.1-2, ust</w:t>
      </w:r>
      <w:r w:rsidR="000C4432">
        <w:rPr>
          <w:rStyle w:val="Teksttreci"/>
          <w:rFonts w:ascii="Times New Roman" w:hAnsi="Times New Roman" w:cs="Times New Roman"/>
          <w:sz w:val="24"/>
          <w:szCs w:val="24"/>
        </w:rPr>
        <w:t>.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 4 i ust. 14 rozporządzenia w sprawie zakresu zadań objętych mecenatem państwa, udzielania dotacji celowej na zadania nim objęte oraz udzielania dofinansowań podmiotom prowadzącym działalność w dziedzinie kultury i ochrony dziedzictwa narodowego, przy czym pułap pomocy de </w:t>
      </w:r>
      <w:proofErr w:type="spellStart"/>
      <w:r w:rsidRPr="00D56BDE">
        <w:rPr>
          <w:rStyle w:val="Teksttreci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D56BDE">
        <w:rPr>
          <w:rStyle w:val="Teksttreci"/>
          <w:rFonts w:ascii="Times New Roman" w:hAnsi="Times New Roman" w:cs="Times New Roman"/>
          <w:sz w:val="24"/>
          <w:szCs w:val="24"/>
        </w:rPr>
        <w:t xml:space="preserve">, którą jedno przedsiębiorstwo może otrzymywać przez okres trzech lat </w:t>
      </w: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nie może przekroczyć kwoty 200 000 €;</w:t>
      </w:r>
    </w:p>
    <w:p w14:paraId="23B6C307" w14:textId="77777777" w:rsidR="00D56BDE" w:rsidRPr="00D56BDE" w:rsidRDefault="00D56BDE" w:rsidP="00D56BDE">
      <w:pPr>
        <w:pStyle w:val="Akapitpodpunkt"/>
        <w:rPr>
          <w:rFonts w:ascii="Times New Roman" w:hAnsi="Times New Roman"/>
          <w:sz w:val="24"/>
          <w:szCs w:val="24"/>
        </w:rPr>
      </w:pPr>
      <w:r w:rsidRPr="00D56BDE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anulowane </w:t>
      </w:r>
      <w:r w:rsidRPr="00D56BDE">
        <w:rPr>
          <w:rStyle w:val="Teksttreci"/>
          <w:rFonts w:ascii="Times New Roman" w:hAnsi="Times New Roman" w:cs="Times New Roman"/>
          <w:sz w:val="24"/>
          <w:szCs w:val="24"/>
        </w:rPr>
        <w:t>– w przypadku, gdy nie ma możliwości udzielenia dofinansowania.</w:t>
      </w:r>
    </w:p>
    <w:p w14:paraId="5F4D471B" w14:textId="430D054D" w:rsidR="000C4432" w:rsidRPr="000C4432" w:rsidRDefault="00D56BDE" w:rsidP="000C4432">
      <w:pPr>
        <w:pStyle w:val="Akapitpunktgowny"/>
        <w:rPr>
          <w:rStyle w:val="Teksttreci"/>
          <w:rFonts w:ascii="Times New Roman" w:hAnsi="Times New Roman" w:cs="Times New Roman"/>
          <w:sz w:val="24"/>
          <w:szCs w:val="24"/>
        </w:rPr>
      </w:pPr>
      <w:r w:rsidRPr="000C4432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</w:t>
      </w:r>
      <w:r w:rsidRPr="000C4432">
        <w:rPr>
          <w:rFonts w:ascii="Times New Roman" w:eastAsia="Calibri" w:hAnsi="Times New Roman"/>
          <w:sz w:val="24"/>
          <w:szCs w:val="24"/>
        </w:rPr>
        <w:t>udzielenia</w:t>
      </w:r>
      <w:r w:rsidRPr="000C4432">
        <w:rPr>
          <w:rStyle w:val="Teksttreci"/>
          <w:rFonts w:ascii="Times New Roman" w:hAnsi="Times New Roman" w:cs="Times New Roman"/>
          <w:sz w:val="24"/>
          <w:szCs w:val="24"/>
        </w:rPr>
        <w:t xml:space="preserve"> dofinansowania jako pomocy publicznej dodatkowe wymogi dotyczące rozliczenia pomocy, w szczególności zgodności realizacji </w:t>
      </w:r>
      <w:r w:rsidR="000C4432" w:rsidRPr="000C4432">
        <w:rPr>
          <w:rStyle w:val="Teksttreci"/>
          <w:rFonts w:ascii="Times New Roman" w:hAnsi="Times New Roman" w:cs="Times New Roman"/>
          <w:sz w:val="24"/>
          <w:szCs w:val="24"/>
        </w:rPr>
        <w:t>Programu</w:t>
      </w:r>
      <w:r w:rsidRPr="000C443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0C4432">
        <w:rPr>
          <w:rStyle w:val="Teksttreci"/>
          <w:rFonts w:ascii="Times New Roman" w:hAnsi="Times New Roman" w:cs="Times New Roman"/>
          <w:sz w:val="24"/>
          <w:szCs w:val="24"/>
        </w:rPr>
        <w:br/>
        <w:t>z przepisami o pomocy publicznej w całym okresie, w którym będzie rozliczana udzielona pomoc publiczna, będą zawarte w umowie o dofinansowanie zadania.</w:t>
      </w:r>
    </w:p>
    <w:p w14:paraId="0C6ABAD8" w14:textId="77777777" w:rsidR="000C4432" w:rsidRDefault="000C4432" w:rsidP="000C4432">
      <w:pPr>
        <w:pStyle w:val="Akapitpunktgowny"/>
        <w:numPr>
          <w:ilvl w:val="0"/>
          <w:numId w:val="0"/>
        </w:numPr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42731B76" w14:textId="6BFF598F" w:rsidR="00D56BDE" w:rsidRPr="000C4432" w:rsidRDefault="00D56BDE" w:rsidP="000C4432">
      <w:pPr>
        <w:pStyle w:val="Akapitpunktgowny"/>
        <w:numPr>
          <w:ilvl w:val="0"/>
          <w:numId w:val="0"/>
        </w:numPr>
        <w:jc w:val="center"/>
        <w:rPr>
          <w:rFonts w:ascii="Times New Roman" w:eastAsia="Calibri" w:hAnsi="Times New Roman"/>
          <w:sz w:val="24"/>
          <w:szCs w:val="24"/>
        </w:rPr>
      </w:pPr>
      <w:r w:rsidRPr="000C4432">
        <w:rPr>
          <w:rStyle w:val="Teksttreci"/>
          <w:rFonts w:ascii="Times New Roman" w:hAnsi="Times New Roman" w:cs="Times New Roman"/>
          <w:sz w:val="24"/>
          <w:szCs w:val="24"/>
        </w:rPr>
        <w:t>WYKAZ ZAŁĄCZNIKÓW DOTYCZĄCYCH POMOCY PUBLICZNEJ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5400"/>
      </w:tblGrid>
      <w:tr w:rsidR="00D56BDE" w:rsidRPr="00D56BDE" w14:paraId="68E05C66" w14:textId="77777777" w:rsidTr="000C4432">
        <w:trPr>
          <w:trHeight w:hRule="exact" w:val="416"/>
          <w:jc w:val="center"/>
        </w:trPr>
        <w:tc>
          <w:tcPr>
            <w:tcW w:w="4555" w:type="dxa"/>
            <w:shd w:val="clear" w:color="auto" w:fill="DBDBDB"/>
            <w:vAlign w:val="center"/>
          </w:tcPr>
          <w:p w14:paraId="54F16471" w14:textId="77777777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b/>
                <w:bCs/>
                <w:color w:val="000000"/>
                <w:lang w:bidi="pl-PL"/>
              </w:rPr>
              <w:t>Załącznik</w:t>
            </w:r>
          </w:p>
        </w:tc>
        <w:tc>
          <w:tcPr>
            <w:tcW w:w="5400" w:type="dxa"/>
            <w:shd w:val="clear" w:color="auto" w:fill="DBDBDB"/>
            <w:vAlign w:val="center"/>
          </w:tcPr>
          <w:p w14:paraId="4BA73671" w14:textId="77777777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b/>
                <w:bCs/>
                <w:color w:val="000000"/>
                <w:lang w:bidi="pl-PL"/>
              </w:rPr>
              <w:t>Komentarz</w:t>
            </w:r>
          </w:p>
        </w:tc>
      </w:tr>
      <w:tr w:rsidR="00D56BDE" w:rsidRPr="00D56BDE" w14:paraId="17785A2F" w14:textId="77777777" w:rsidTr="000C4432">
        <w:trPr>
          <w:trHeight w:hRule="exact" w:val="3139"/>
          <w:jc w:val="center"/>
        </w:trPr>
        <w:tc>
          <w:tcPr>
            <w:tcW w:w="4555" w:type="dxa"/>
            <w:shd w:val="clear" w:color="auto" w:fill="DBDBDB"/>
            <w:vAlign w:val="center"/>
          </w:tcPr>
          <w:p w14:paraId="02459C9C" w14:textId="77777777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 xml:space="preserve">Szczegółowa informacja </w:t>
            </w:r>
            <w:r w:rsidRPr="00D56BDE">
              <w:rPr>
                <w:rFonts w:eastAsia="Microsoft Sans Serif"/>
                <w:color w:val="000000"/>
                <w:lang w:bidi="pl-PL"/>
              </w:rPr>
              <w:br/>
              <w:t>dotycząca pomocy publicznej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4395C132" w14:textId="4B0CB47F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 xml:space="preserve">O konieczności przesłania załącznika decyduje </w:t>
            </w:r>
            <w:r w:rsidR="000C4432">
              <w:rPr>
                <w:rFonts w:eastAsia="Microsoft Sans Serif"/>
                <w:color w:val="000000"/>
                <w:lang w:bidi="pl-PL"/>
              </w:rPr>
              <w:t>Organizator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–</w:t>
            </w:r>
            <w:r w:rsidR="000C4432">
              <w:rPr>
                <w:rFonts w:eastAsia="Microsoft Sans Serif"/>
                <w:color w:val="000000"/>
                <w:lang w:bidi="pl-PL"/>
              </w:rPr>
              <w:t xml:space="preserve"> 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w zależności od wyniku I etapu testu pomocy publicznej. </w:t>
            </w:r>
            <w:r w:rsidRPr="00D56BDE">
              <w:rPr>
                <w:rFonts w:eastAsia="Microsoft Sans Serif"/>
                <w:b/>
                <w:bCs/>
                <w:color w:val="000000"/>
                <w:lang w:bidi="pl-PL"/>
              </w:rPr>
              <w:t>UWAGA!</w:t>
            </w:r>
          </w:p>
          <w:p w14:paraId="632181AB" w14:textId="140C03CB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 xml:space="preserve">W przypadku konieczności przedstawienia szczegółowych informacji na potrzeby sporządzenia testu pomocy publicznej </w:t>
            </w:r>
            <w:r w:rsidR="000C4432">
              <w:rPr>
                <w:rFonts w:eastAsia="Microsoft Sans Serif"/>
                <w:color w:val="000000"/>
                <w:lang w:bidi="pl-PL"/>
              </w:rPr>
              <w:t>Organizator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może wystąpić do </w:t>
            </w:r>
            <w:r w:rsidR="000C4432">
              <w:rPr>
                <w:rFonts w:eastAsia="Microsoft Sans Serif"/>
                <w:color w:val="000000"/>
                <w:lang w:bidi="pl-PL"/>
              </w:rPr>
              <w:t>Wnioskodawcy/Wnioskodawców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o przedstawienie informacji w osobnym piśmie. Formularz załącznika będzie dostępny na stronie internetowej </w:t>
            </w:r>
            <w:r w:rsidR="000C4432">
              <w:rPr>
                <w:rFonts w:eastAsia="Microsoft Sans Serif"/>
                <w:color w:val="000000"/>
                <w:lang w:bidi="pl-PL"/>
              </w:rPr>
              <w:t>Organizatora.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</w:t>
            </w:r>
          </w:p>
        </w:tc>
      </w:tr>
      <w:tr w:rsidR="00D56BDE" w:rsidRPr="00D56BDE" w14:paraId="120A9720" w14:textId="77777777" w:rsidTr="000C4432">
        <w:trPr>
          <w:trHeight w:hRule="exact" w:val="2558"/>
          <w:jc w:val="center"/>
        </w:trPr>
        <w:tc>
          <w:tcPr>
            <w:tcW w:w="4555" w:type="dxa"/>
            <w:shd w:val="clear" w:color="auto" w:fill="DBDBDB"/>
            <w:vAlign w:val="center"/>
          </w:tcPr>
          <w:p w14:paraId="7F288779" w14:textId="77777777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 xml:space="preserve">Formularz informacji przedstawianych przy ubieganiu się o pomoc inną niż pomoc </w:t>
            </w:r>
            <w:r w:rsidRPr="00D56BDE">
              <w:rPr>
                <w:rFonts w:eastAsia="Microsoft Sans Serif"/>
                <w:color w:val="000000"/>
                <w:lang w:bidi="pl-PL"/>
              </w:rPr>
              <w:br/>
              <w:t xml:space="preserve">w rolnictwie lub rybołówstwie, pomoc </w:t>
            </w:r>
            <w:r w:rsidRPr="00D56BDE">
              <w:rPr>
                <w:rFonts w:eastAsia="Microsoft Sans Serif"/>
                <w:color w:val="000000"/>
                <w:lang w:bidi="pl-PL"/>
              </w:rPr>
              <w:br/>
              <w:t xml:space="preserve">de </w:t>
            </w:r>
            <w:proofErr w:type="spellStart"/>
            <w:r w:rsidRPr="00D56BDE">
              <w:rPr>
                <w:rFonts w:eastAsia="Microsoft Sans Serif"/>
                <w:color w:val="000000"/>
                <w:lang w:bidi="pl-PL"/>
              </w:rPr>
              <w:t>minimis</w:t>
            </w:r>
            <w:proofErr w:type="spellEnd"/>
            <w:r w:rsidRPr="00D56BDE">
              <w:rPr>
                <w:rFonts w:eastAsia="Microsoft Sans Serif"/>
                <w:color w:val="000000"/>
                <w:lang w:bidi="pl-PL"/>
              </w:rPr>
              <w:t xml:space="preserve"> lub pomoc de </w:t>
            </w:r>
            <w:proofErr w:type="spellStart"/>
            <w:r w:rsidRPr="00D56BDE">
              <w:rPr>
                <w:rFonts w:eastAsia="Microsoft Sans Serif"/>
                <w:color w:val="000000"/>
                <w:lang w:bidi="pl-PL"/>
              </w:rPr>
              <w:t>minimis</w:t>
            </w:r>
            <w:proofErr w:type="spellEnd"/>
            <w:r w:rsidRPr="00D56BDE">
              <w:rPr>
                <w:rFonts w:eastAsia="Microsoft Sans Serif"/>
                <w:color w:val="000000"/>
                <w:lang w:bidi="pl-PL"/>
              </w:rPr>
              <w:t xml:space="preserve"> </w:t>
            </w:r>
            <w:r w:rsidRPr="00D56BDE">
              <w:rPr>
                <w:rFonts w:eastAsia="Microsoft Sans Serif"/>
                <w:color w:val="000000"/>
                <w:lang w:bidi="pl-PL"/>
              </w:rPr>
              <w:br/>
              <w:t>w rolnictwie lub rybołówstwie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0E23B52" w14:textId="7B420398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>Należy dostarczyć wyłącznie w przypadku</w:t>
            </w:r>
            <w:r w:rsidR="000C4432">
              <w:rPr>
                <w:rFonts w:eastAsia="Microsoft Sans Serif"/>
                <w:color w:val="000000"/>
                <w:lang w:bidi="pl-PL"/>
              </w:rPr>
              <w:t>,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jeśli </w:t>
            </w:r>
            <w:r w:rsidR="000C4432">
              <w:rPr>
                <w:rFonts w:eastAsia="Microsoft Sans Serif"/>
                <w:color w:val="000000"/>
                <w:lang w:bidi="pl-PL"/>
              </w:rPr>
              <w:t>Wnioskodawca/Wnioskodawcy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występuje</w:t>
            </w:r>
            <w:r w:rsidR="000C4432">
              <w:rPr>
                <w:rFonts w:eastAsia="Microsoft Sans Serif"/>
                <w:color w:val="000000"/>
                <w:lang w:bidi="pl-PL"/>
              </w:rPr>
              <w:t>/występują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jako przedsiębiorstwo w rozumieniu art. 1 załącznika I do rozporządzenia Komisji (UE) nr 651/2014 i otrzymuje dofinansowanie jako pomoc publiczną; formularz załącznika będzie dostępny na stronie internetowej </w:t>
            </w:r>
            <w:r w:rsidR="000C4432">
              <w:rPr>
                <w:rFonts w:eastAsia="Microsoft Sans Serif"/>
                <w:color w:val="000000"/>
                <w:lang w:bidi="pl-PL"/>
              </w:rPr>
              <w:t>Organizatora</w:t>
            </w:r>
            <w:r w:rsidRPr="00D56BDE">
              <w:rPr>
                <w:rFonts w:eastAsia="Microsoft Sans Serif"/>
                <w:color w:val="000000"/>
                <w:lang w:bidi="pl-PL"/>
              </w:rPr>
              <w:t>.</w:t>
            </w:r>
          </w:p>
        </w:tc>
      </w:tr>
      <w:tr w:rsidR="00D56BDE" w:rsidRPr="00D56BDE" w14:paraId="1F85ACEA" w14:textId="77777777" w:rsidTr="000C4432">
        <w:trPr>
          <w:trHeight w:hRule="exact" w:val="2305"/>
          <w:jc w:val="center"/>
        </w:trPr>
        <w:tc>
          <w:tcPr>
            <w:tcW w:w="4555" w:type="dxa"/>
            <w:shd w:val="clear" w:color="auto" w:fill="DBDBDB"/>
            <w:vAlign w:val="center"/>
          </w:tcPr>
          <w:p w14:paraId="3B547467" w14:textId="77777777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 xml:space="preserve">Formularz informacji przedstawianych </w:t>
            </w:r>
            <w:r w:rsidRPr="00D56BDE">
              <w:rPr>
                <w:rFonts w:eastAsia="Microsoft Sans Serif"/>
                <w:color w:val="000000"/>
                <w:lang w:bidi="pl-PL"/>
              </w:rPr>
              <w:br/>
              <w:t xml:space="preserve">przy ubieganiu się o pomoc de </w:t>
            </w:r>
            <w:proofErr w:type="spellStart"/>
            <w:r w:rsidRPr="00D56BDE">
              <w:rPr>
                <w:rFonts w:eastAsia="Microsoft Sans Serif"/>
                <w:color w:val="000000"/>
                <w:lang w:bidi="pl-PL"/>
              </w:rPr>
              <w:t>minimis</w:t>
            </w:r>
            <w:proofErr w:type="spellEnd"/>
          </w:p>
        </w:tc>
        <w:tc>
          <w:tcPr>
            <w:tcW w:w="5400" w:type="dxa"/>
            <w:shd w:val="clear" w:color="auto" w:fill="auto"/>
            <w:vAlign w:val="bottom"/>
          </w:tcPr>
          <w:p w14:paraId="32025BBA" w14:textId="2A7F2D73" w:rsidR="00D56BDE" w:rsidRPr="00D56BDE" w:rsidRDefault="00D56BDE" w:rsidP="00616E58">
            <w:pPr>
              <w:widowControl w:val="0"/>
              <w:spacing w:after="120"/>
              <w:jc w:val="center"/>
              <w:rPr>
                <w:rFonts w:eastAsia="Microsoft Sans Serif"/>
                <w:color w:val="000000"/>
                <w:lang w:bidi="pl-PL"/>
              </w:rPr>
            </w:pPr>
            <w:r w:rsidRPr="00D56BDE">
              <w:rPr>
                <w:rFonts w:eastAsia="Microsoft Sans Serif"/>
                <w:color w:val="000000"/>
                <w:lang w:bidi="pl-PL"/>
              </w:rPr>
              <w:t>Należy dostarczyć wyłącznie w przypadku</w:t>
            </w:r>
            <w:r w:rsidR="000C4432">
              <w:rPr>
                <w:rFonts w:eastAsia="Microsoft Sans Serif"/>
                <w:color w:val="000000"/>
                <w:lang w:bidi="pl-PL"/>
              </w:rPr>
              <w:t>,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jeśli </w:t>
            </w:r>
            <w:r w:rsidR="000C4432">
              <w:rPr>
                <w:rFonts w:eastAsia="Microsoft Sans Serif"/>
                <w:color w:val="000000"/>
                <w:lang w:bidi="pl-PL"/>
              </w:rPr>
              <w:t>Wnioskodawca/Wnioskodawcy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występuje</w:t>
            </w:r>
            <w:r w:rsidR="000C4432">
              <w:rPr>
                <w:rFonts w:eastAsia="Microsoft Sans Serif"/>
                <w:color w:val="000000"/>
                <w:lang w:bidi="pl-PL"/>
              </w:rPr>
              <w:t>/występują</w:t>
            </w:r>
            <w:r w:rsidRPr="00D56BDE">
              <w:rPr>
                <w:rFonts w:eastAsia="Microsoft Sans Serif"/>
                <w:color w:val="000000"/>
                <w:lang w:bidi="pl-PL"/>
              </w:rPr>
              <w:t xml:space="preserve"> jako przedsiębiorstwo w rozumieniu art. 1 załącznika I do rozporządzenia Komisji (UE) nr 651/2014 i otrzymuje dofinansowanie jako pomoc de </w:t>
            </w:r>
            <w:proofErr w:type="spellStart"/>
            <w:r w:rsidRPr="00D56BDE">
              <w:rPr>
                <w:rFonts w:eastAsia="Microsoft Sans Serif"/>
                <w:color w:val="000000"/>
                <w:lang w:bidi="pl-PL"/>
              </w:rPr>
              <w:t>minimis</w:t>
            </w:r>
            <w:proofErr w:type="spellEnd"/>
            <w:r w:rsidRPr="00D56BDE">
              <w:rPr>
                <w:rFonts w:eastAsia="Microsoft Sans Serif"/>
                <w:color w:val="000000"/>
                <w:lang w:bidi="pl-PL"/>
              </w:rPr>
              <w:t>; formularz załącznika będzie dostępny na stronie internetowej NIMiT w zakładce programu.</w:t>
            </w:r>
          </w:p>
        </w:tc>
      </w:tr>
    </w:tbl>
    <w:p w14:paraId="5B9F5E00" w14:textId="59C0DD87" w:rsidR="00DE2642" w:rsidRPr="00D56BDE" w:rsidRDefault="00DE2642" w:rsidP="000C4432"/>
    <w:sectPr w:rsidR="00DE2642" w:rsidRPr="00D56BD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5095" w14:textId="77777777" w:rsidR="0025395B" w:rsidRDefault="0025395B" w:rsidP="00720DA9">
      <w:r>
        <w:separator/>
      </w:r>
    </w:p>
  </w:endnote>
  <w:endnote w:type="continuationSeparator" w:id="0">
    <w:p w14:paraId="27F9A22E" w14:textId="77777777" w:rsidR="0025395B" w:rsidRDefault="0025395B" w:rsidP="0072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B245" w14:textId="77777777" w:rsidR="0025395B" w:rsidRDefault="0025395B" w:rsidP="00720DA9">
      <w:r>
        <w:separator/>
      </w:r>
    </w:p>
  </w:footnote>
  <w:footnote w:type="continuationSeparator" w:id="0">
    <w:p w14:paraId="63341060" w14:textId="77777777" w:rsidR="0025395B" w:rsidRDefault="0025395B" w:rsidP="00720DA9">
      <w:r>
        <w:continuationSeparator/>
      </w:r>
    </w:p>
  </w:footnote>
  <w:footnote w:id="1">
    <w:p w14:paraId="5880333C" w14:textId="77777777" w:rsidR="00D56BDE" w:rsidRPr="00D56BDE" w:rsidRDefault="00D56BDE" w:rsidP="00D56BDE">
      <w:pPr>
        <w:pStyle w:val="Stopka1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Zgodnie z art. 53 rozporządzenia Komisji (UE) nr 651/2014 z dnia 17 czerwca 2014 r. uznającego niektóre rodzaje pomocy za zgodne z rynkiem wewnętrznym w zastosowaniu art. 107 i 108 Traktatu.</w:t>
      </w:r>
    </w:p>
  </w:footnote>
  <w:footnote w:id="2">
    <w:p w14:paraId="493A6B00" w14:textId="77777777" w:rsidR="00D56BDE" w:rsidRPr="00D56BDE" w:rsidRDefault="00D56BDE" w:rsidP="00D56BDE">
      <w:pPr>
        <w:pStyle w:val="Stopka1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Obowiązek prowadzenia wyodrębnionej ewidencji księgowej środków finansowych Ministra oraz wydatków dokonywanych z tych środków dotyczy wszystkich beneficjentów - patrz § 11 ust. 22 Regulaminu.</w:t>
      </w:r>
    </w:p>
  </w:footnote>
  <w:footnote w:id="3">
    <w:p w14:paraId="6127AF8C" w14:textId="77777777" w:rsidR="00D56BDE" w:rsidRPr="00D56BDE" w:rsidRDefault="00D56BDE" w:rsidP="00D56BDE">
      <w:pPr>
        <w:pStyle w:val="Stopka1"/>
        <w:jc w:val="both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Zgodnie z art. 53 ust. 8 rozporządzenia Komisji (UE) nr 651/2014.</w:t>
      </w:r>
    </w:p>
  </w:footnote>
  <w:footnote w:id="4">
    <w:p w14:paraId="4A8671D0" w14:textId="68A4E126" w:rsidR="00D56BDE" w:rsidRPr="00D56BDE" w:rsidRDefault="00D56BDE" w:rsidP="00D56BDE">
      <w:pPr>
        <w:pStyle w:val="Stopka1"/>
        <w:jc w:val="both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Nie należy mylić z kosztami </w:t>
      </w:r>
      <w:r w:rsidRPr="00D56BDE">
        <w:rPr>
          <w:rStyle w:val="Stopka0"/>
          <w:rFonts w:ascii="Times New Roman" w:hAnsi="Times New Roman" w:cs="Times New Roman"/>
          <w:b/>
          <w:bCs/>
          <w:sz w:val="20"/>
          <w:szCs w:val="20"/>
        </w:rPr>
        <w:t>kwalifikowanymi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, określonymi w </w:t>
      </w:r>
      <w:r w:rsidR="000C4432">
        <w:rPr>
          <w:rStyle w:val="Stopka0"/>
          <w:rFonts w:ascii="Times New Roman" w:hAnsi="Times New Roman" w:cs="Times New Roman"/>
          <w:sz w:val="20"/>
          <w:szCs w:val="20"/>
        </w:rPr>
        <w:t>Regulaminie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>, dotyczącymi wyłącznie dofinansowania z</w:t>
      </w:r>
      <w:r w:rsidR="000C4432">
        <w:rPr>
          <w:rStyle w:val="Stopka0"/>
          <w:rFonts w:ascii="Times New Roman" w:hAnsi="Times New Roman" w:cs="Times New Roman"/>
          <w:sz w:val="20"/>
          <w:szCs w:val="20"/>
        </w:rPr>
        <w:t>e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środków </w:t>
      </w:r>
      <w:r w:rsidR="000C4432">
        <w:rPr>
          <w:rStyle w:val="Stopka0"/>
          <w:rFonts w:ascii="Times New Roman" w:hAnsi="Times New Roman" w:cs="Times New Roman"/>
          <w:sz w:val="20"/>
          <w:szCs w:val="20"/>
        </w:rPr>
        <w:t>Organizatora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. W ramach </w:t>
      </w:r>
      <w:r w:rsidR="000C4432">
        <w:rPr>
          <w:rStyle w:val="Stopka0"/>
          <w:rFonts w:ascii="Times New Roman" w:hAnsi="Times New Roman" w:cs="Times New Roman"/>
          <w:sz w:val="20"/>
          <w:szCs w:val="20"/>
        </w:rPr>
        <w:t>Programu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przez </w:t>
      </w:r>
      <w:r w:rsidRPr="000C4432">
        <w:rPr>
          <w:rStyle w:val="Stopka0"/>
          <w:rFonts w:ascii="Times New Roman" w:hAnsi="Times New Roman" w:cs="Times New Roman"/>
          <w:b/>
          <w:bCs/>
          <w:sz w:val="20"/>
          <w:szCs w:val="20"/>
        </w:rPr>
        <w:t>koszty kwalifikowalne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należy rozumieć wszystkie koszty realizacji zadania.</w:t>
      </w:r>
    </w:p>
  </w:footnote>
  <w:footnote w:id="5">
    <w:p w14:paraId="22C91E3E" w14:textId="77777777" w:rsidR="00D56BDE" w:rsidRPr="00D56BDE" w:rsidRDefault="00D56BDE" w:rsidP="00D56BDE">
      <w:pPr>
        <w:pStyle w:val="Stopka1"/>
        <w:jc w:val="both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Zgodnie z art. 7 ust. 3 rozporządzenia Komisji (UE) nr 651/2014.</w:t>
      </w:r>
    </w:p>
  </w:footnote>
  <w:footnote w:id="6">
    <w:p w14:paraId="1899F6A9" w14:textId="7B443AE7" w:rsidR="00D56BDE" w:rsidRPr="00D56BDE" w:rsidRDefault="00D56BDE" w:rsidP="00D56BDE">
      <w:pPr>
        <w:pStyle w:val="Stopka1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Dyskontowanie można pominąć w przypadku</w:t>
      </w:r>
      <w:r w:rsidR="000C4432">
        <w:rPr>
          <w:rStyle w:val="Stopka0"/>
          <w:rFonts w:ascii="Times New Roman" w:hAnsi="Times New Roman" w:cs="Times New Roman"/>
          <w:sz w:val="20"/>
          <w:szCs w:val="20"/>
        </w:rPr>
        <w:t>,</w:t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gdy między przyznaniem pomocy a poniesieniem wydatków upływa poniżej 12 miesięcy.</w:t>
      </w:r>
    </w:p>
  </w:footnote>
  <w:footnote w:id="7">
    <w:p w14:paraId="65986578" w14:textId="77777777" w:rsidR="00D56BDE" w:rsidRPr="00D56BDE" w:rsidRDefault="00D56BDE" w:rsidP="00D56BDE">
      <w:pPr>
        <w:pStyle w:val="Stopka1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Zgodnie z rozporządzeniem Komisji (UE) nr 1407/2013 z dnia 18 grudnia 2013 r. w sprawie stosowania art. 107 i 108</w:t>
      </w:r>
    </w:p>
    <w:p w14:paraId="22798FA7" w14:textId="77777777" w:rsidR="00D56BDE" w:rsidRPr="00D56BDE" w:rsidRDefault="00D56BDE" w:rsidP="00D56BDE">
      <w:pPr>
        <w:pStyle w:val="Stopka1"/>
        <w:rPr>
          <w:rFonts w:ascii="Times New Roman" w:hAnsi="Times New Roman" w:cs="Times New Roman"/>
          <w:sz w:val="20"/>
          <w:szCs w:val="20"/>
        </w:rPr>
      </w:pPr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Traktatu o funkcjonowaniu Unii Europejskiej do pomocy de </w:t>
      </w:r>
      <w:proofErr w:type="spellStart"/>
      <w:r w:rsidRPr="00D56BDE">
        <w:rPr>
          <w:rStyle w:val="Stopka0"/>
          <w:rFonts w:ascii="Times New Roman" w:hAnsi="Times New Roman" w:cs="Times New Roman"/>
          <w:sz w:val="20"/>
          <w:szCs w:val="20"/>
        </w:rPr>
        <w:t>minimis</w:t>
      </w:r>
      <w:proofErr w:type="spellEnd"/>
      <w:r w:rsidRPr="00D56BDE">
        <w:rPr>
          <w:rStyle w:val="Stopka0"/>
          <w:rFonts w:ascii="Times New Roman" w:hAnsi="Times New Roman" w:cs="Times New Roman"/>
          <w:sz w:val="20"/>
          <w:szCs w:val="20"/>
        </w:rPr>
        <w:t xml:space="preserve"> (Dz. Urz. UE L 352 z 24.12.2013).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3FF2"/>
    <w:multiLevelType w:val="hybridMultilevel"/>
    <w:tmpl w:val="D5327180"/>
    <w:lvl w:ilvl="0" w:tplc="358C9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49F"/>
    <w:multiLevelType w:val="hybridMultilevel"/>
    <w:tmpl w:val="43522F72"/>
    <w:lvl w:ilvl="0" w:tplc="62AA9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1583"/>
    <w:multiLevelType w:val="hybridMultilevel"/>
    <w:tmpl w:val="6A384F66"/>
    <w:lvl w:ilvl="0" w:tplc="526C8B0C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25B22"/>
    <w:multiLevelType w:val="hybridMultilevel"/>
    <w:tmpl w:val="5380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6615"/>
    <w:multiLevelType w:val="multilevel"/>
    <w:tmpl w:val="0046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90214"/>
    <w:multiLevelType w:val="hybridMultilevel"/>
    <w:tmpl w:val="4E4077AE"/>
    <w:lvl w:ilvl="0" w:tplc="CCDA50BA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988746959">
    <w:abstractNumId w:val="4"/>
  </w:num>
  <w:num w:numId="2" w16cid:durableId="970326453">
    <w:abstractNumId w:val="1"/>
  </w:num>
  <w:num w:numId="3" w16cid:durableId="1137725035">
    <w:abstractNumId w:val="0"/>
  </w:num>
  <w:num w:numId="4" w16cid:durableId="1083839082">
    <w:abstractNumId w:val="3"/>
  </w:num>
  <w:num w:numId="5" w16cid:durableId="2068412234">
    <w:abstractNumId w:val="5"/>
  </w:num>
  <w:num w:numId="6" w16cid:durableId="1344940492">
    <w:abstractNumId w:val="5"/>
    <w:lvlOverride w:ilvl="0">
      <w:startOverride w:val="1"/>
    </w:lvlOverride>
  </w:num>
  <w:num w:numId="7" w16cid:durableId="1527713697">
    <w:abstractNumId w:val="5"/>
    <w:lvlOverride w:ilvl="0">
      <w:startOverride w:val="1"/>
    </w:lvlOverride>
  </w:num>
  <w:num w:numId="8" w16cid:durableId="149446171">
    <w:abstractNumId w:val="5"/>
    <w:lvlOverride w:ilvl="0">
      <w:startOverride w:val="1"/>
    </w:lvlOverride>
  </w:num>
  <w:num w:numId="9" w16cid:durableId="71166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42"/>
    <w:rsid w:val="00057BDC"/>
    <w:rsid w:val="000A29AE"/>
    <w:rsid w:val="000C4432"/>
    <w:rsid w:val="00137149"/>
    <w:rsid w:val="0025395B"/>
    <w:rsid w:val="005B2419"/>
    <w:rsid w:val="006E5A0B"/>
    <w:rsid w:val="00720DA9"/>
    <w:rsid w:val="0083124B"/>
    <w:rsid w:val="00AD0E69"/>
    <w:rsid w:val="00D56BDE"/>
    <w:rsid w:val="00DE2642"/>
    <w:rsid w:val="00E533BB"/>
    <w:rsid w:val="00F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52DE"/>
  <w15:docId w15:val="{C3D958FE-BC94-494C-9D67-7B7D231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A9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5B2419"/>
    <w:pPr>
      <w:keepNext/>
      <w:keepLines/>
      <w:spacing w:before="480" w:after="120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533BB"/>
    <w:pPr>
      <w:keepNext/>
      <w:keepLines/>
      <w:spacing w:before="480" w:after="120"/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24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19"/>
  </w:style>
  <w:style w:type="paragraph" w:styleId="Stopka">
    <w:name w:val="footer"/>
    <w:basedOn w:val="Normalny"/>
    <w:link w:val="StopkaZnak"/>
    <w:uiPriority w:val="99"/>
    <w:unhideWhenUsed/>
    <w:rsid w:val="005B24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19"/>
  </w:style>
  <w:style w:type="paragraph" w:styleId="Akapitzlist">
    <w:name w:val="List Paragraph"/>
    <w:basedOn w:val="Normalny"/>
    <w:uiPriority w:val="34"/>
    <w:qFormat/>
    <w:rsid w:val="005B24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2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2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41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20D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Tytu"/>
    <w:autoRedefine/>
    <w:qFormat/>
    <w:rsid w:val="00D56BDE"/>
    <w:pPr>
      <w:keepNext w:val="0"/>
      <w:keepLines w:val="0"/>
      <w:tabs>
        <w:tab w:val="center" w:pos="4535"/>
        <w:tab w:val="left" w:pos="5333"/>
      </w:tabs>
      <w:suppressAutoHyphens/>
      <w:spacing w:before="360" w:line="360" w:lineRule="auto"/>
      <w:outlineLvl w:val="0"/>
    </w:pPr>
    <w:rPr>
      <w:rFonts w:eastAsia="Times New Roman"/>
      <w:b w:val="0"/>
      <w:caps/>
      <w:spacing w:val="14"/>
      <w:sz w:val="24"/>
      <w:szCs w:val="24"/>
    </w:rPr>
  </w:style>
  <w:style w:type="paragraph" w:customStyle="1" w:styleId="Akapitpunktgowny">
    <w:name w:val="Akapit_punkt_głowny"/>
    <w:basedOn w:val="Normalny"/>
    <w:autoRedefine/>
    <w:qFormat/>
    <w:rsid w:val="00D56BDE"/>
    <w:pPr>
      <w:numPr>
        <w:numId w:val="9"/>
      </w:numPr>
      <w:suppressAutoHyphens/>
      <w:spacing w:line="360" w:lineRule="auto"/>
      <w:jc w:val="both"/>
    </w:pPr>
    <w:rPr>
      <w:rFonts w:asciiTheme="minorHAnsi" w:eastAsia="Times New Roman" w:hAnsiTheme="minorHAnsi"/>
      <w:sz w:val="22"/>
      <w:szCs w:val="22"/>
    </w:rPr>
  </w:style>
  <w:style w:type="paragraph" w:customStyle="1" w:styleId="Akapitpodpunkt">
    <w:name w:val="Akapit_podpunkt"/>
    <w:basedOn w:val="Normalny"/>
    <w:qFormat/>
    <w:rsid w:val="00D56BDE"/>
    <w:pPr>
      <w:numPr>
        <w:numId w:val="5"/>
      </w:numPr>
      <w:suppressAutoHyphens/>
      <w:spacing w:line="336" w:lineRule="auto"/>
      <w:jc w:val="both"/>
    </w:pPr>
    <w:rPr>
      <w:rFonts w:asciiTheme="minorHAnsi" w:eastAsia="Times New Roman" w:hAnsiTheme="minorHAnsi"/>
      <w:sz w:val="22"/>
      <w:szCs w:val="22"/>
    </w:rPr>
  </w:style>
  <w:style w:type="paragraph" w:customStyle="1" w:styleId="Standard">
    <w:name w:val="Standard"/>
    <w:rsid w:val="00D56B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</w:rPr>
  </w:style>
  <w:style w:type="character" w:customStyle="1" w:styleId="Stopka0">
    <w:name w:val="Stopka_"/>
    <w:basedOn w:val="Domylnaczcionkaakapitu"/>
    <w:link w:val="Stopka1"/>
    <w:rsid w:val="00D56BDE"/>
    <w:rPr>
      <w:rFonts w:ascii="Calibri" w:eastAsia="Calibri" w:hAnsi="Calibri" w:cs="Calibr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D56BDE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D56BDE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D56BDE"/>
    <w:pPr>
      <w:widowControl w:val="0"/>
      <w:spacing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D56BDE"/>
    <w:pPr>
      <w:widowControl w:val="0"/>
      <w:spacing w:after="10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6BDE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D56BDE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D56BDE"/>
    <w:pPr>
      <w:widowControl w:val="0"/>
      <w:spacing w:after="10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b80886-c2e8-4be1-99ad-44f6a8ccf435" xsi:nil="true"/>
    <lcf76f155ced4ddcb4097134ff3c332f xmlns="41b4efc4-3ff4-4a37-b61b-30487935e8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sUmFadCQk5H2kpnx66ryNbk8A==">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2B2A53C6B7346B42DE2F6DF0BC9FC" ma:contentTypeVersion="16" ma:contentTypeDescription="Utwórz nowy dokument." ma:contentTypeScope="" ma:versionID="84b87377bf794f75ef6e95c9c90ef5fc">
  <xsd:schema xmlns:xsd="http://www.w3.org/2001/XMLSchema" xmlns:xs="http://www.w3.org/2001/XMLSchema" xmlns:p="http://schemas.microsoft.com/office/2006/metadata/properties" xmlns:ns2="41b4efc4-3ff4-4a37-b61b-30487935e845" xmlns:ns3="7ab80886-c2e8-4be1-99ad-44f6a8ccf435" targetNamespace="http://schemas.microsoft.com/office/2006/metadata/properties" ma:root="true" ma:fieldsID="2d54e5cf5f55df7cf50e2e1f9418240c" ns2:_="" ns3:_="">
    <xsd:import namespace="41b4efc4-3ff4-4a37-b61b-30487935e845"/>
    <xsd:import namespace="7ab80886-c2e8-4be1-99ad-44f6a8ccf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4efc4-3ff4-4a37-b61b-30487935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0886-c2e8-4be1-99ad-44f6a8ccf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5c8944-338a-4112-b00a-efee0d24092b}" ma:internalName="TaxCatchAll" ma:showField="CatchAllData" ma:web="7ab80886-c2e8-4be1-99ad-44f6a8ccf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26082-FA69-468B-9A9E-86694DCD2945}">
  <ds:schemaRefs>
    <ds:schemaRef ds:uri="http://schemas.microsoft.com/office/2006/metadata/properties"/>
    <ds:schemaRef ds:uri="http://schemas.microsoft.com/office/infopath/2007/PartnerControls"/>
    <ds:schemaRef ds:uri="7ab80886-c2e8-4be1-99ad-44f6a8ccf435"/>
    <ds:schemaRef ds:uri="41b4efc4-3ff4-4a37-b61b-30487935e845"/>
  </ds:schemaRefs>
</ds:datastoreItem>
</file>

<file path=customXml/itemProps2.xml><?xml version="1.0" encoding="utf-8"?>
<ds:datastoreItem xmlns:ds="http://schemas.openxmlformats.org/officeDocument/2006/customXml" ds:itemID="{A5EF1A8A-C71E-4B89-8EB5-EF3B745CF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53B9B99-C5B7-4913-9E37-280B0BCC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4efc4-3ff4-4a37-b61b-30487935e845"/>
    <ds:schemaRef ds:uri="7ab80886-c2e8-4be1-99ad-44f6a8ccf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Kotarba | NIMiT</cp:lastModifiedBy>
  <cp:revision>3</cp:revision>
  <dcterms:created xsi:type="dcterms:W3CDTF">2023-01-12T10:53:00Z</dcterms:created>
  <dcterms:modified xsi:type="dcterms:W3CDTF">2023-03-29T09:09:00Z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0x010100EE32B2A53C6B7346B42DE2F6DF0BC9FC</vt:lpwstr>
  </property>
</Properties>
</file>